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CB" w:rsidRPr="000145AB" w:rsidRDefault="00EA3FCB" w:rsidP="00EA3FCB">
      <w:pPr>
        <w:pStyle w:val="a5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>Утвержден</w:t>
      </w:r>
    </w:p>
    <w:p w:rsidR="00EA3FCB" w:rsidRPr="000145AB" w:rsidRDefault="00EA3FCB" w:rsidP="00EA3FCB">
      <w:pPr>
        <w:pStyle w:val="a5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 xml:space="preserve">решением комиссии </w:t>
      </w:r>
      <w:proofErr w:type="gramStart"/>
      <w:r w:rsidRPr="000145AB">
        <w:rPr>
          <w:b w:val="0"/>
          <w:bCs w:val="0"/>
          <w:szCs w:val="28"/>
        </w:rPr>
        <w:t>по</w:t>
      </w:r>
      <w:proofErr w:type="gramEnd"/>
      <w:r w:rsidRPr="000145AB">
        <w:rPr>
          <w:b w:val="0"/>
          <w:bCs w:val="0"/>
          <w:szCs w:val="28"/>
        </w:rPr>
        <w:t xml:space="preserve"> </w:t>
      </w:r>
    </w:p>
    <w:p w:rsidR="00EA3FCB" w:rsidRDefault="00EA3FCB" w:rsidP="00EA3FCB">
      <w:pPr>
        <w:pStyle w:val="a5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 xml:space="preserve">благоустройству, градостроительству, экологии </w:t>
      </w:r>
    </w:p>
    <w:p w:rsidR="00EA3FCB" w:rsidRPr="000145AB" w:rsidRDefault="00EA3FCB" w:rsidP="00EA3FCB">
      <w:pPr>
        <w:pStyle w:val="a5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 xml:space="preserve">и коммунальному хозяйству </w:t>
      </w:r>
    </w:p>
    <w:p w:rsidR="00EA3FCB" w:rsidRPr="00F065A1" w:rsidRDefault="00EA3FCB" w:rsidP="00EA3FCB">
      <w:pPr>
        <w:pStyle w:val="a5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>от</w:t>
      </w:r>
      <w:r>
        <w:rPr>
          <w:b w:val="0"/>
          <w:bCs w:val="0"/>
          <w:szCs w:val="28"/>
        </w:rPr>
        <w:t xml:space="preserve"> 19 сентября 2023 </w:t>
      </w:r>
      <w:r w:rsidRPr="000145AB">
        <w:rPr>
          <w:b w:val="0"/>
          <w:bCs w:val="0"/>
          <w:szCs w:val="28"/>
        </w:rPr>
        <w:t xml:space="preserve">года </w:t>
      </w:r>
      <w:r>
        <w:rPr>
          <w:b w:val="0"/>
          <w:bCs w:val="0"/>
          <w:szCs w:val="28"/>
        </w:rPr>
        <w:t xml:space="preserve">               </w:t>
      </w:r>
      <w:r w:rsidRPr="000145AB">
        <w:rPr>
          <w:b w:val="0"/>
          <w:bCs w:val="0"/>
          <w:szCs w:val="28"/>
        </w:rPr>
        <w:t>№</w:t>
      </w:r>
      <w:r>
        <w:rPr>
          <w:b w:val="0"/>
          <w:bCs w:val="0"/>
          <w:szCs w:val="28"/>
        </w:rPr>
        <w:t xml:space="preserve"> 140</w:t>
      </w:r>
    </w:p>
    <w:p w:rsidR="00EA3FCB" w:rsidRPr="00A30A91" w:rsidRDefault="00EA3FCB" w:rsidP="00EA3FCB">
      <w:pPr>
        <w:pStyle w:val="a5"/>
        <w:rPr>
          <w:b w:val="0"/>
          <w:bCs w:val="0"/>
          <w:szCs w:val="28"/>
        </w:rPr>
      </w:pPr>
    </w:p>
    <w:p w:rsidR="00EA3FCB" w:rsidRPr="008923E8" w:rsidRDefault="00EA3FCB" w:rsidP="00EA3FCB">
      <w:pPr>
        <w:pStyle w:val="a5"/>
        <w:rPr>
          <w:b w:val="0"/>
          <w:bCs w:val="0"/>
          <w:sz w:val="12"/>
          <w:szCs w:val="28"/>
        </w:rPr>
      </w:pPr>
    </w:p>
    <w:p w:rsidR="00EA3FCB" w:rsidRPr="000145AB" w:rsidRDefault="00EA3FCB" w:rsidP="00EA3FCB">
      <w:pPr>
        <w:pStyle w:val="a5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</w:t>
      </w:r>
      <w:r w:rsidRPr="000145AB">
        <w:rPr>
          <w:b w:val="0"/>
          <w:bCs w:val="0"/>
          <w:szCs w:val="28"/>
        </w:rPr>
        <w:t>лан</w:t>
      </w:r>
    </w:p>
    <w:p w:rsidR="00EA3FCB" w:rsidRPr="000145AB" w:rsidRDefault="00EA3FCB" w:rsidP="00EA3FCB">
      <w:pPr>
        <w:jc w:val="center"/>
        <w:rPr>
          <w:szCs w:val="28"/>
        </w:rPr>
      </w:pPr>
      <w:r w:rsidRPr="000145AB">
        <w:rPr>
          <w:szCs w:val="28"/>
        </w:rPr>
        <w:t xml:space="preserve">работы комиссии по благоустройству, </w:t>
      </w:r>
    </w:p>
    <w:p w:rsidR="00EA3FCB" w:rsidRPr="000145AB" w:rsidRDefault="00EA3FCB" w:rsidP="00EA3FCB">
      <w:pPr>
        <w:jc w:val="center"/>
        <w:rPr>
          <w:szCs w:val="28"/>
        </w:rPr>
      </w:pPr>
      <w:r w:rsidRPr="000145AB">
        <w:rPr>
          <w:szCs w:val="28"/>
        </w:rPr>
        <w:t xml:space="preserve">градостроительству, экологии и коммунальному хозяйству </w:t>
      </w:r>
    </w:p>
    <w:p w:rsidR="00EA3FCB" w:rsidRDefault="00EA3FCB" w:rsidP="00EA3FCB">
      <w:pPr>
        <w:jc w:val="center"/>
        <w:rPr>
          <w:szCs w:val="28"/>
        </w:rPr>
      </w:pPr>
      <w:r w:rsidRPr="000145AB">
        <w:rPr>
          <w:szCs w:val="28"/>
        </w:rPr>
        <w:t xml:space="preserve">на </w:t>
      </w:r>
      <w:r w:rsidRPr="00215224">
        <w:rPr>
          <w:szCs w:val="28"/>
          <w:lang w:val="en-US"/>
        </w:rPr>
        <w:t>IV</w:t>
      </w:r>
      <w:r>
        <w:rPr>
          <w:szCs w:val="28"/>
        </w:rPr>
        <w:t xml:space="preserve"> квартал 2023</w:t>
      </w:r>
      <w:r w:rsidRPr="000145AB">
        <w:rPr>
          <w:szCs w:val="28"/>
        </w:rPr>
        <w:t xml:space="preserve"> года</w:t>
      </w:r>
    </w:p>
    <w:p w:rsidR="00EA3FCB" w:rsidRPr="008923E8" w:rsidRDefault="00EA3FCB" w:rsidP="00EA3FCB">
      <w:pPr>
        <w:jc w:val="center"/>
        <w:rPr>
          <w:sz w:val="24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103"/>
        <w:gridCol w:w="1276"/>
        <w:gridCol w:w="1417"/>
        <w:gridCol w:w="1418"/>
      </w:tblGrid>
      <w:tr w:rsidR="00EA3FCB" w:rsidRPr="000145AB" w:rsidTr="002856E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145AB" w:rsidRDefault="00EA3FCB" w:rsidP="002856EF">
            <w:pPr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145AB" w:rsidRDefault="00EA3FCB" w:rsidP="002856EF">
            <w:pPr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 xml:space="preserve">Перечень вопросов, рассматриваемых </w:t>
            </w:r>
            <w:r>
              <w:rPr>
                <w:b/>
                <w:szCs w:val="28"/>
              </w:rPr>
              <w:br/>
            </w:r>
            <w:r w:rsidRPr="000145AB">
              <w:rPr>
                <w:b/>
                <w:szCs w:val="28"/>
              </w:rPr>
              <w:t>на заседании комиссии</w:t>
            </w:r>
          </w:p>
          <w:p w:rsidR="00EA3FCB" w:rsidRPr="000145AB" w:rsidRDefault="00EA3FCB" w:rsidP="002856EF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145AB" w:rsidRDefault="00EA3FCB" w:rsidP="002856EF">
            <w:pPr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 xml:space="preserve">Месяц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Default="00EA3FCB" w:rsidP="002856EF">
            <w:pPr>
              <w:ind w:left="-78"/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>в т. ч. на заседании     Думы</w:t>
            </w:r>
          </w:p>
          <w:p w:rsidR="00EA3FCB" w:rsidRPr="00F02F64" w:rsidRDefault="00EA3FCB" w:rsidP="002856EF">
            <w:pPr>
              <w:ind w:left="-7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145AB" w:rsidRDefault="00EA3FCB" w:rsidP="002856EF">
            <w:pPr>
              <w:jc w:val="center"/>
              <w:rPr>
                <w:b/>
                <w:szCs w:val="28"/>
              </w:rPr>
            </w:pPr>
            <w:proofErr w:type="spellStart"/>
            <w:r w:rsidRPr="000145AB">
              <w:rPr>
                <w:b/>
                <w:szCs w:val="28"/>
              </w:rPr>
              <w:t>Иници</w:t>
            </w:r>
            <w:proofErr w:type="spellEnd"/>
            <w:r w:rsidRPr="000145AB">
              <w:rPr>
                <w:b/>
                <w:szCs w:val="28"/>
              </w:rPr>
              <w:t>-</w:t>
            </w:r>
          </w:p>
          <w:p w:rsidR="00EA3FCB" w:rsidRPr="000145AB" w:rsidRDefault="00EA3FCB" w:rsidP="002856EF">
            <w:pPr>
              <w:jc w:val="center"/>
              <w:rPr>
                <w:b/>
                <w:szCs w:val="28"/>
              </w:rPr>
            </w:pPr>
            <w:proofErr w:type="spellStart"/>
            <w:r w:rsidRPr="000145AB">
              <w:rPr>
                <w:b/>
                <w:szCs w:val="28"/>
              </w:rPr>
              <w:t>атор</w:t>
            </w:r>
            <w:proofErr w:type="spellEnd"/>
          </w:p>
        </w:tc>
      </w:tr>
      <w:tr w:rsidR="00EA3FCB" w:rsidRPr="000145AB" w:rsidTr="002856E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A30A91" w:rsidRDefault="00EA3FCB" w:rsidP="002856EF">
            <w:pPr>
              <w:jc w:val="center"/>
              <w:rPr>
                <w:szCs w:val="28"/>
              </w:rPr>
            </w:pPr>
            <w:r w:rsidRPr="00A30A91">
              <w:rPr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A30A91" w:rsidRDefault="00EA3FCB" w:rsidP="002856EF">
            <w:pPr>
              <w:jc w:val="both"/>
              <w:rPr>
                <w:szCs w:val="28"/>
              </w:rPr>
            </w:pPr>
            <w:r w:rsidRPr="00A30A91">
              <w:rPr>
                <w:szCs w:val="28"/>
              </w:rPr>
              <w:t xml:space="preserve">О внесении изменений в решение Думы Уссурийского городского округа </w:t>
            </w:r>
            <w:r>
              <w:rPr>
                <w:szCs w:val="28"/>
              </w:rPr>
              <w:t xml:space="preserve">                       </w:t>
            </w:r>
            <w:r w:rsidRPr="00A30A91">
              <w:rPr>
                <w:szCs w:val="28"/>
              </w:rPr>
              <w:t xml:space="preserve">от 24 ноября 2008 года </w:t>
            </w:r>
            <w:r>
              <w:rPr>
                <w:szCs w:val="28"/>
              </w:rPr>
              <w:t xml:space="preserve">№ </w:t>
            </w:r>
            <w:r w:rsidRPr="00A30A91">
              <w:rPr>
                <w:szCs w:val="28"/>
              </w:rPr>
              <w:t>886-НПА</w:t>
            </w:r>
            <w:r>
              <w:rPr>
                <w:szCs w:val="28"/>
              </w:rPr>
              <w:t xml:space="preserve">                </w:t>
            </w:r>
            <w:r w:rsidRPr="00A30A91">
              <w:rPr>
                <w:szCs w:val="28"/>
              </w:rPr>
              <w:t xml:space="preserve"> "О правилах использования водных объектов общего пользования для личных и бытовых нужд, расположенных на территории Уссурийского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A30A91" w:rsidRDefault="00EA3FCB" w:rsidP="002856EF">
            <w:pPr>
              <w:jc w:val="center"/>
              <w:rPr>
                <w:szCs w:val="28"/>
              </w:rPr>
            </w:pPr>
            <w:r w:rsidRPr="00A30A91">
              <w:rPr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145AB" w:rsidRDefault="00EA3FCB" w:rsidP="002856EF">
            <w:pPr>
              <w:ind w:left="-78"/>
              <w:jc w:val="center"/>
              <w:rPr>
                <w:b/>
                <w:szCs w:val="28"/>
              </w:rPr>
            </w:pPr>
            <w:r w:rsidRPr="00A30A91">
              <w:rPr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145AB" w:rsidRDefault="00EA3FCB" w:rsidP="002856EF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EA3FCB" w:rsidRPr="000145AB" w:rsidTr="002856E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84142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145AB" w:rsidRDefault="00EA3FCB" w:rsidP="002856EF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Информация "</w:t>
            </w:r>
            <w:r w:rsidRPr="008923E8">
              <w:rPr>
                <w:szCs w:val="28"/>
              </w:rPr>
              <w:t>О переходе на новую систему обращения с твердыми</w:t>
            </w:r>
            <w:r>
              <w:rPr>
                <w:szCs w:val="28"/>
              </w:rPr>
              <w:t xml:space="preserve"> </w:t>
            </w:r>
            <w:r w:rsidRPr="008923E8">
              <w:rPr>
                <w:szCs w:val="28"/>
              </w:rPr>
              <w:t>коммунальными отходами на территории</w:t>
            </w:r>
            <w:r>
              <w:rPr>
                <w:szCs w:val="28"/>
              </w:rPr>
              <w:t xml:space="preserve"> </w:t>
            </w:r>
            <w:r w:rsidRPr="008923E8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A30A91" w:rsidRDefault="00EA3FCB" w:rsidP="002856EF">
            <w:pPr>
              <w:jc w:val="center"/>
              <w:rPr>
                <w:szCs w:val="28"/>
              </w:rPr>
            </w:pPr>
            <w:r w:rsidRPr="00A30A91">
              <w:rPr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145AB" w:rsidRDefault="00EA3FCB" w:rsidP="002856EF">
            <w:pPr>
              <w:ind w:left="-78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145AB" w:rsidRDefault="00EA3FCB" w:rsidP="002856EF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EA3FCB" w:rsidRPr="000145AB" w:rsidTr="002856E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646BFA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46BFA">
              <w:rPr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Default="00EA3FCB" w:rsidP="002856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</w:t>
            </w:r>
            <w:r w:rsidRPr="006C0E8E">
              <w:rPr>
                <w:szCs w:val="28"/>
              </w:rPr>
              <w:t>ешение Думы Уссурийского городского округа от 31</w:t>
            </w:r>
            <w:r>
              <w:rPr>
                <w:szCs w:val="28"/>
              </w:rPr>
              <w:t xml:space="preserve"> января </w:t>
            </w:r>
            <w:r w:rsidRPr="006C0E8E">
              <w:rPr>
                <w:szCs w:val="28"/>
              </w:rPr>
              <w:t>2020</w:t>
            </w:r>
            <w:r>
              <w:rPr>
                <w:szCs w:val="28"/>
              </w:rPr>
              <w:t xml:space="preserve"> года № 167-НПА </w:t>
            </w:r>
            <w:r w:rsidRPr="006C0E8E">
              <w:rPr>
                <w:szCs w:val="28"/>
              </w:rPr>
              <w:t>"Об установлении средней рыночной стоимости одного квадратного метра общей площади жилого помещения, используемой при формировании специализированного жилищного фонда Приморского края, муниципального специализированного жилищного фонда Уссурийского городского округа на 2020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84142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8923E8" w:rsidRDefault="00EA3FCB" w:rsidP="002856EF">
            <w:pPr>
              <w:ind w:left="-78"/>
              <w:jc w:val="center"/>
              <w:rPr>
                <w:szCs w:val="28"/>
              </w:rPr>
            </w:pPr>
            <w:r w:rsidRPr="008923E8">
              <w:rPr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145AB" w:rsidRDefault="00EA3FCB" w:rsidP="002856EF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EA3FCB" w:rsidRPr="000145AB" w:rsidTr="002856E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F02F64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8431CF" w:rsidRDefault="00EA3FCB" w:rsidP="002856E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1CF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средней рыночной стоимости одного квадратного метра общей площади жилого помещения, используемой при формировании специализированного жилищного фонда </w:t>
            </w:r>
            <w:r w:rsidRPr="00843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Приморского края, муниципального специализированного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1CF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31C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646BFA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646BFA" w:rsidRDefault="00EA3FCB" w:rsidP="002856EF">
            <w:pPr>
              <w:ind w:left="-78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646BFA" w:rsidRDefault="00EA3FCB" w:rsidP="002856EF">
            <w:pPr>
              <w:jc w:val="center"/>
              <w:rPr>
                <w:szCs w:val="28"/>
              </w:rPr>
            </w:pPr>
            <w:r w:rsidRPr="00646BFA"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EA3FCB" w:rsidRPr="000145AB" w:rsidTr="002856E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4E6B80" w:rsidRDefault="00EA3FCB" w:rsidP="002856EF">
            <w:pPr>
              <w:jc w:val="both"/>
              <w:rPr>
                <w:b/>
                <w:i/>
                <w:sz w:val="24"/>
              </w:rPr>
            </w:pPr>
            <w:r w:rsidRPr="00A621A0">
              <w:rPr>
                <w:szCs w:val="28"/>
              </w:rPr>
              <w:t>О проекте решения Думы Уссурийского городского округа</w:t>
            </w:r>
            <w:r>
              <w:rPr>
                <w:szCs w:val="28"/>
              </w:rPr>
              <w:t xml:space="preserve"> </w:t>
            </w:r>
            <w:r w:rsidRPr="00A621A0">
              <w:rPr>
                <w:szCs w:val="28"/>
              </w:rPr>
              <w:t>"О бюджете Уссури</w:t>
            </w:r>
            <w:r>
              <w:rPr>
                <w:szCs w:val="28"/>
              </w:rPr>
              <w:t>йского городского округа на 2024</w:t>
            </w:r>
            <w:r w:rsidRPr="00A621A0">
              <w:rPr>
                <w:szCs w:val="28"/>
              </w:rPr>
              <w:t xml:space="preserve"> год и плановый период 20</w:t>
            </w:r>
            <w:r>
              <w:rPr>
                <w:szCs w:val="28"/>
              </w:rPr>
              <w:t>25 и 2026 года" (первое чтение)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145AB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Default="00EA3FCB" w:rsidP="002856EF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E4171"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EA3FCB" w:rsidRPr="000145AB" w:rsidTr="002856E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A621A0" w:rsidRDefault="00EA3FCB" w:rsidP="002856EF">
            <w:pPr>
              <w:jc w:val="both"/>
              <w:rPr>
                <w:szCs w:val="28"/>
              </w:rPr>
            </w:pPr>
            <w:r w:rsidRPr="00A621A0">
              <w:rPr>
                <w:szCs w:val="28"/>
              </w:rPr>
              <w:t>О проекте решения Думы</w:t>
            </w:r>
            <w:r>
              <w:rPr>
                <w:szCs w:val="28"/>
              </w:rPr>
              <w:t xml:space="preserve"> Уссурийского городского округа </w:t>
            </w:r>
            <w:r w:rsidRPr="00A621A0">
              <w:rPr>
                <w:szCs w:val="28"/>
              </w:rPr>
              <w:t>"О бюджете Уссури</w:t>
            </w:r>
            <w:r>
              <w:rPr>
                <w:szCs w:val="28"/>
              </w:rPr>
              <w:t>йского городского округа на 2024</w:t>
            </w:r>
            <w:r w:rsidRPr="00A621A0">
              <w:rPr>
                <w:szCs w:val="28"/>
              </w:rPr>
              <w:t xml:space="preserve"> год и плановый период 20</w:t>
            </w:r>
            <w:r>
              <w:rPr>
                <w:szCs w:val="28"/>
              </w:rPr>
              <w:t>25 и 2026 года" (второе чтение)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145AB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Default="00EA3FCB" w:rsidP="002856EF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E4171"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EA3FCB" w:rsidRPr="000145AB" w:rsidTr="002856E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Default="00EA3FCB" w:rsidP="002856E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"</w:t>
            </w:r>
            <w:r w:rsidRPr="008923E8">
              <w:rPr>
                <w:szCs w:val="28"/>
              </w:rPr>
              <w:t>О переходе на новую систему обращения с твердыми</w:t>
            </w:r>
            <w:r>
              <w:rPr>
                <w:szCs w:val="28"/>
              </w:rPr>
              <w:t xml:space="preserve"> </w:t>
            </w:r>
            <w:r w:rsidRPr="008923E8">
              <w:rPr>
                <w:szCs w:val="28"/>
              </w:rPr>
              <w:t>коммунальными отходами на территории</w:t>
            </w:r>
            <w:r>
              <w:rPr>
                <w:szCs w:val="28"/>
              </w:rPr>
              <w:t xml:space="preserve"> </w:t>
            </w:r>
            <w:r w:rsidRPr="008923E8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Default="00EA3FCB" w:rsidP="002856EF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6E4171" w:rsidRDefault="00EA3FCB" w:rsidP="002856EF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E4171"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EA3FCB" w:rsidRPr="000145AB" w:rsidTr="002856EF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A621A0" w:rsidRDefault="00EA3FCB" w:rsidP="002856EF">
            <w:pPr>
              <w:tabs>
                <w:tab w:val="left" w:pos="4536"/>
              </w:tabs>
              <w:ind w:right="-1"/>
              <w:jc w:val="both"/>
              <w:rPr>
                <w:szCs w:val="28"/>
              </w:rPr>
            </w:pPr>
            <w:r w:rsidRPr="00595D1A">
              <w:rPr>
                <w:szCs w:val="28"/>
              </w:rPr>
              <w:t>О плане работы комиссии по благоустройству, градостроительству, экологи</w:t>
            </w:r>
            <w:r>
              <w:rPr>
                <w:szCs w:val="28"/>
              </w:rPr>
              <w:t xml:space="preserve">и и коммунальному хозяйству на </w:t>
            </w:r>
            <w:r w:rsidRPr="00595D1A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 2024</w:t>
            </w:r>
            <w:r w:rsidRPr="00595D1A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0145AB" w:rsidRDefault="00EA3FCB" w:rsidP="002856EF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CB" w:rsidRPr="006E4171" w:rsidRDefault="00EA3FCB" w:rsidP="002856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</w:t>
            </w:r>
            <w:r w:rsidRPr="00595D1A">
              <w:rPr>
                <w:szCs w:val="28"/>
              </w:rPr>
              <w:t>сия</w:t>
            </w:r>
          </w:p>
        </w:tc>
      </w:tr>
    </w:tbl>
    <w:p w:rsidR="00EA3FCB" w:rsidRPr="00CE1ED2" w:rsidRDefault="00EA3FCB" w:rsidP="00EA3FCB">
      <w:pPr>
        <w:pStyle w:val="a3"/>
        <w:ind w:right="0" w:firstLine="708"/>
        <w:jc w:val="both"/>
        <w:rPr>
          <w:sz w:val="24"/>
        </w:rPr>
      </w:pPr>
    </w:p>
    <w:p w:rsidR="00547222" w:rsidRPr="00EA3FCB" w:rsidRDefault="001D7848" w:rsidP="00EA3FCB"/>
    <w:sectPr w:rsidR="00547222" w:rsidRPr="00EA3FCB" w:rsidSect="00856BB8">
      <w:headerReference w:type="default" r:id="rId6"/>
      <w:pgSz w:w="11906" w:h="16838"/>
      <w:pgMar w:top="567" w:right="1106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48" w:rsidRDefault="001D7848" w:rsidP="00CF580D">
      <w:r>
        <w:separator/>
      </w:r>
    </w:p>
  </w:endnote>
  <w:endnote w:type="continuationSeparator" w:id="0">
    <w:p w:rsidR="001D7848" w:rsidRDefault="001D7848" w:rsidP="00CF5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48" w:rsidRDefault="001D7848" w:rsidP="00CF580D">
      <w:r>
        <w:separator/>
      </w:r>
    </w:p>
  </w:footnote>
  <w:footnote w:type="continuationSeparator" w:id="0">
    <w:p w:rsidR="001D7848" w:rsidRDefault="001D7848" w:rsidP="00CF5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B8" w:rsidRPr="00B5406B" w:rsidRDefault="00CF580D" w:rsidP="00B5406B">
    <w:pPr>
      <w:pStyle w:val="a7"/>
      <w:jc w:val="center"/>
    </w:pPr>
    <w:r>
      <w:fldChar w:fldCharType="begin"/>
    </w:r>
    <w:r w:rsidR="00504375">
      <w:instrText xml:space="preserve"> PAGE   \* MERGEFORMAT </w:instrText>
    </w:r>
    <w:r>
      <w:fldChar w:fldCharType="separate"/>
    </w:r>
    <w:r w:rsidR="0047401F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375"/>
    <w:rsid w:val="001D7848"/>
    <w:rsid w:val="0038106C"/>
    <w:rsid w:val="0047401F"/>
    <w:rsid w:val="00504375"/>
    <w:rsid w:val="00634079"/>
    <w:rsid w:val="00CF580D"/>
    <w:rsid w:val="00EA3FCB"/>
    <w:rsid w:val="00F1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375"/>
    <w:pPr>
      <w:ind w:right="5395"/>
    </w:pPr>
  </w:style>
  <w:style w:type="character" w:customStyle="1" w:styleId="a4">
    <w:name w:val="Основной текст Знак"/>
    <w:basedOn w:val="a0"/>
    <w:link w:val="a3"/>
    <w:rsid w:val="0050437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50437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043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504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437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EA3F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2023-03-21T23:13:00Z</dcterms:created>
  <dcterms:modified xsi:type="dcterms:W3CDTF">2023-09-19T07:38:00Z</dcterms:modified>
</cp:coreProperties>
</file>