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93" w:type="dxa"/>
        <w:tblInd w:w="93" w:type="dxa"/>
        <w:tblLook w:val="04A0" w:firstRow="1" w:lastRow="0" w:firstColumn="1" w:lastColumn="0" w:noHBand="0" w:noVBand="1"/>
      </w:tblPr>
      <w:tblGrid>
        <w:gridCol w:w="9750"/>
        <w:gridCol w:w="1943"/>
      </w:tblGrid>
      <w:tr w:rsidR="00DC7C74" w:rsidRPr="00835BD2" w:rsidTr="00DC7C74">
        <w:trPr>
          <w:trHeight w:val="330"/>
        </w:trPr>
        <w:tc>
          <w:tcPr>
            <w:tcW w:w="9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35" w:rsidRPr="00835BD2" w:rsidRDefault="00AB4135" w:rsidP="00D72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5F3C0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AB4135" w:rsidRPr="00835BD2" w:rsidRDefault="00AB4135" w:rsidP="00AB4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 </w:t>
            </w:r>
            <w:proofErr w:type="gramStart"/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</w:t>
            </w:r>
            <w:proofErr w:type="gramEnd"/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B4135" w:rsidRPr="00835BD2" w:rsidRDefault="00AB4135" w:rsidP="00AB4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городского округа </w:t>
            </w:r>
          </w:p>
          <w:p w:rsidR="00AB4135" w:rsidRPr="00835BD2" w:rsidRDefault="00C475C5" w:rsidP="00AB4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27 ноября 2018 года № 904</w:t>
            </w:r>
            <w:bookmarkStart w:id="0" w:name="_GoBack"/>
            <w:bookmarkEnd w:id="0"/>
            <w:r w:rsidR="00AB4135"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B4135" w:rsidRPr="00835BD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AB4135" w:rsidRPr="00835BD2" w:rsidRDefault="00AB4135" w:rsidP="00AB4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DC7C74" w:rsidRPr="00835BD2" w:rsidRDefault="00DC7C74" w:rsidP="00AB4135">
            <w:pPr>
              <w:spacing w:after="0" w:line="240" w:lineRule="auto"/>
              <w:ind w:firstLine="529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C74" w:rsidRPr="00835BD2" w:rsidRDefault="00DC7C74" w:rsidP="00DC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C74" w:rsidRPr="00835BD2" w:rsidTr="00DC7C74">
        <w:trPr>
          <w:trHeight w:val="330"/>
        </w:trPr>
        <w:tc>
          <w:tcPr>
            <w:tcW w:w="9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C74" w:rsidRPr="00835BD2" w:rsidRDefault="00DC7C74" w:rsidP="00835BD2">
            <w:pPr>
              <w:tabs>
                <w:tab w:val="left" w:pos="54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решению Думы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C74" w:rsidRPr="00835BD2" w:rsidRDefault="00DC7C74" w:rsidP="00DC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C74" w:rsidRPr="00835BD2" w:rsidTr="00DC7C74">
        <w:trPr>
          <w:trHeight w:val="330"/>
        </w:trPr>
        <w:tc>
          <w:tcPr>
            <w:tcW w:w="1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C74" w:rsidRPr="00835BD2" w:rsidRDefault="00DC7C74" w:rsidP="00835BD2">
            <w:pPr>
              <w:tabs>
                <w:tab w:val="left" w:pos="5294"/>
                <w:tab w:val="left" w:pos="55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Уссурийского городского округа</w:t>
            </w:r>
          </w:p>
        </w:tc>
      </w:tr>
      <w:tr w:rsidR="00DC7C74" w:rsidRPr="00835BD2" w:rsidTr="00DC7C74">
        <w:trPr>
          <w:trHeight w:val="330"/>
        </w:trPr>
        <w:tc>
          <w:tcPr>
            <w:tcW w:w="1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C74" w:rsidRPr="00835BD2" w:rsidRDefault="00DC7C74" w:rsidP="00835BD2">
            <w:pPr>
              <w:tabs>
                <w:tab w:val="left" w:pos="5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="00C20A3F" w:rsidRPr="00835B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07.12.2017 № 711-НПА</w:t>
            </w:r>
          </w:p>
        </w:tc>
      </w:tr>
    </w:tbl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8"/>
        <w:gridCol w:w="7634"/>
        <w:gridCol w:w="1418"/>
      </w:tblGrid>
      <w:tr w:rsidR="00DC7C74" w:rsidRPr="00835BD2" w:rsidTr="003549A5">
        <w:trPr>
          <w:trHeight w:val="330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549A5" w:rsidRPr="00835BD2" w:rsidRDefault="003549A5" w:rsidP="000D37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49A5" w:rsidRPr="00835BD2" w:rsidRDefault="003549A5" w:rsidP="000D37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7C74" w:rsidRPr="00835BD2" w:rsidRDefault="00DC7C74" w:rsidP="000D37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</w:t>
            </w:r>
          </w:p>
        </w:tc>
      </w:tr>
      <w:tr w:rsidR="00DC7C74" w:rsidRPr="00835BD2" w:rsidTr="003549A5">
        <w:trPr>
          <w:trHeight w:val="696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C7C74" w:rsidRPr="00835BD2" w:rsidRDefault="00DC7C74" w:rsidP="001D23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и расходов муниципального дорожного фонда Уссурийского  городского округа  на 201</w:t>
            </w:r>
            <w:r w:rsidR="001D235C"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931AA" w:rsidRPr="00835BD2" w:rsidTr="003549A5">
        <w:trPr>
          <w:trHeight w:val="461"/>
        </w:trPr>
        <w:tc>
          <w:tcPr>
            <w:tcW w:w="9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31AA" w:rsidRPr="00835BD2" w:rsidRDefault="007931AA" w:rsidP="001F5BC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  <w:r w:rsidR="000D376B"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3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</w:p>
        </w:tc>
      </w:tr>
      <w:tr w:rsidR="007931AA" w:rsidRPr="003549A5" w:rsidTr="003549A5"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549A5">
              <w:rPr>
                <w:rFonts w:ascii="Times New Roman" w:hAnsi="Times New Roman" w:cs="Times New Roman"/>
              </w:rPr>
              <w:t>п</w:t>
            </w:r>
            <w:proofErr w:type="gramEnd"/>
            <w:r w:rsidRPr="003549A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634" w:type="dxa"/>
            <w:tcBorders>
              <w:top w:val="single" w:sz="4" w:space="0" w:color="auto"/>
            </w:tcBorders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Сумма</w:t>
            </w:r>
          </w:p>
        </w:tc>
      </w:tr>
      <w:tr w:rsidR="007931AA" w:rsidRPr="003549A5" w:rsidTr="003549A5">
        <w:tc>
          <w:tcPr>
            <w:tcW w:w="588" w:type="dxa"/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4" w:type="dxa"/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931AA" w:rsidRPr="003549A5" w:rsidRDefault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3</w:t>
            </w:r>
          </w:p>
        </w:tc>
      </w:tr>
      <w:tr w:rsidR="0074467E" w:rsidRPr="003549A5" w:rsidTr="003549A5">
        <w:tc>
          <w:tcPr>
            <w:tcW w:w="588" w:type="dxa"/>
            <w:vAlign w:val="center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9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34" w:type="dxa"/>
            <w:vAlign w:val="bottom"/>
          </w:tcPr>
          <w:p w:rsidR="0074467E" w:rsidRPr="003549A5" w:rsidRDefault="0074467E">
            <w:pPr>
              <w:rPr>
                <w:rFonts w:ascii="Times New Roman" w:hAnsi="Times New Roman" w:cs="Times New Roman"/>
                <w:b/>
                <w:bCs/>
              </w:rPr>
            </w:pPr>
            <w:r w:rsidRPr="003549A5">
              <w:rPr>
                <w:rFonts w:ascii="Times New Roman" w:hAnsi="Times New Roman" w:cs="Times New Roman"/>
                <w:b/>
                <w:bCs/>
              </w:rPr>
              <w:t xml:space="preserve">ДОХОДЫ - всего:                                               </w:t>
            </w:r>
          </w:p>
        </w:tc>
        <w:tc>
          <w:tcPr>
            <w:tcW w:w="1418" w:type="dxa"/>
          </w:tcPr>
          <w:p w:rsidR="0074467E" w:rsidRPr="003549A5" w:rsidRDefault="00683163" w:rsidP="006513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344 901,81</w:t>
            </w:r>
          </w:p>
        </w:tc>
      </w:tr>
      <w:tr w:rsidR="0074467E" w:rsidRPr="003549A5" w:rsidTr="003549A5">
        <w:tc>
          <w:tcPr>
            <w:tcW w:w="588" w:type="dxa"/>
            <w:vAlign w:val="center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34" w:type="dxa"/>
            <w:vAlign w:val="bottom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в том числе:                                                  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4" w:type="dxa"/>
          </w:tcPr>
          <w:p w:rsidR="0074467E" w:rsidRPr="003549A5" w:rsidRDefault="0074467E" w:rsidP="001D235C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Неиспользованный остаток бюджетных ассигнований дорожного фонда на 01 января 2018 года</w:t>
            </w:r>
          </w:p>
        </w:tc>
        <w:tc>
          <w:tcPr>
            <w:tcW w:w="1418" w:type="dxa"/>
          </w:tcPr>
          <w:p w:rsidR="0074467E" w:rsidRPr="000573BA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  <w:r w:rsidRPr="000573BA">
              <w:rPr>
                <w:rFonts w:ascii="Times New Roman" w:hAnsi="Times New Roman" w:cs="Times New Roman"/>
              </w:rPr>
              <w:t>38 329,30</w:t>
            </w: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Средства бюджета в размере прогнозируемых поступлений  </w:t>
            </w:r>
            <w:proofErr w:type="gramStart"/>
            <w:r w:rsidRPr="003549A5">
              <w:rPr>
                <w:rFonts w:ascii="Times New Roman" w:hAnsi="Times New Roman" w:cs="Times New Roman"/>
              </w:rPr>
              <w:t>от</w:t>
            </w:r>
            <w:proofErr w:type="gramEnd"/>
            <w:r w:rsidRPr="003549A5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1418" w:type="dxa"/>
          </w:tcPr>
          <w:p w:rsidR="0074467E" w:rsidRPr="000573BA" w:rsidRDefault="00B727BD" w:rsidP="005F3C0F">
            <w:pPr>
              <w:jc w:val="center"/>
              <w:rPr>
                <w:rFonts w:ascii="Times New Roman" w:hAnsi="Times New Roman" w:cs="Times New Roman"/>
              </w:rPr>
            </w:pPr>
            <w:r w:rsidRPr="000573BA">
              <w:rPr>
                <w:rFonts w:ascii="Times New Roman" w:hAnsi="Times New Roman" w:cs="Times New Roman"/>
              </w:rPr>
              <w:t>263</w:t>
            </w:r>
            <w:r w:rsidR="005F3C0F">
              <w:rPr>
                <w:rFonts w:ascii="Times New Roman" w:hAnsi="Times New Roman" w:cs="Times New Roman"/>
              </w:rPr>
              <w:t> 072,51</w:t>
            </w: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7634" w:type="dxa"/>
          </w:tcPr>
          <w:p w:rsidR="0074467E" w:rsidRPr="003549A5" w:rsidRDefault="0074467E" w:rsidP="007931AA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3549A5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549A5">
              <w:rPr>
                <w:rFonts w:ascii="Times New Roman" w:hAnsi="Times New Roman" w:cs="Times New Roman"/>
              </w:rPr>
              <w:t>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418" w:type="dxa"/>
          </w:tcPr>
          <w:p w:rsidR="0074467E" w:rsidRPr="000573BA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  <w:r w:rsidRPr="000573BA">
              <w:rPr>
                <w:rFonts w:ascii="Times New Roman" w:hAnsi="Times New Roman" w:cs="Times New Roman"/>
              </w:rPr>
              <w:t>30 810,00</w:t>
            </w: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земельного налога</w:t>
            </w:r>
          </w:p>
        </w:tc>
        <w:tc>
          <w:tcPr>
            <w:tcW w:w="1418" w:type="dxa"/>
          </w:tcPr>
          <w:p w:rsidR="0074467E" w:rsidRPr="000573BA" w:rsidRDefault="00683163" w:rsidP="00776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232 262,51</w:t>
            </w: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74467E" w:rsidRPr="000573BA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A5570B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государственной пошлины </w:t>
            </w:r>
            <w:proofErr w:type="gramStart"/>
            <w:r w:rsidRPr="003549A5">
              <w:rPr>
                <w:rFonts w:ascii="Times New Roman" w:hAnsi="Times New Roman" w:cs="Times New Roman"/>
              </w:rPr>
              <w:t>за выдачу органом местного самоуправления специального разрешения на движение по автомобильной дороге общего пользования местного значения специального разрешения на движение по автомобильной дороге</w:t>
            </w:r>
            <w:proofErr w:type="gramEnd"/>
            <w:r w:rsidRPr="003549A5">
              <w:rPr>
                <w:rFonts w:ascii="Times New Roman" w:hAnsi="Times New Roman" w:cs="Times New Roman"/>
              </w:rPr>
              <w:t xml:space="preserve">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1418" w:type="dxa"/>
          </w:tcPr>
          <w:p w:rsidR="0074467E" w:rsidRPr="00A5570B" w:rsidRDefault="0074467E" w:rsidP="007931A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грузов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ж)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доходов от использования имущества, входящего в состав автомобильных дорог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з)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доходов от передачи в аренду земельных участков, расположенных в полосе отвода автомобильных дорог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и)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доходов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муниципальной собственности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к)</w:t>
            </w:r>
          </w:p>
        </w:tc>
        <w:tc>
          <w:tcPr>
            <w:tcW w:w="7634" w:type="dxa"/>
          </w:tcPr>
          <w:p w:rsidR="0074467E" w:rsidRPr="003549A5" w:rsidRDefault="0074467E" w:rsidP="007931AA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3549A5">
              <w:rPr>
                <w:rFonts w:ascii="Times New Roman" w:hAnsi="Times New Roman" w:cs="Times New Roman"/>
              </w:rPr>
              <w:t xml:space="preserve">полос отвода автомобильных дорог общего </w:t>
            </w:r>
            <w:r w:rsidRPr="003549A5">
              <w:rPr>
                <w:rFonts w:ascii="Times New Roman" w:hAnsi="Times New Roman" w:cs="Times New Roman"/>
              </w:rPr>
              <w:lastRenderedPageBreak/>
              <w:t>пользования местного значения</w:t>
            </w:r>
            <w:proofErr w:type="gramEnd"/>
            <w:r w:rsidRPr="003549A5">
              <w:rPr>
                <w:rFonts w:ascii="Times New Roman" w:hAnsi="Times New Roman" w:cs="Times New Roman"/>
              </w:rPr>
              <w:t xml:space="preserve"> в целях строительства (реконструкции), капитального ремонта  объектов дорожного сервиса, их эксплуатации, установки и эксплуатации рекламных конструкций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lastRenderedPageBreak/>
              <w:t>л)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платы по соглашениям об установлении публичных сервитутов в отношении земельных участков в границах </w:t>
            </w:r>
            <w:proofErr w:type="gramStart"/>
            <w:r w:rsidRPr="003549A5">
              <w:rPr>
                <w:rFonts w:ascii="Times New Roman" w:hAnsi="Times New Roman" w:cs="Times New Roman"/>
              </w:rPr>
              <w:t>полос отвода автомобильных дорог общего пользования местного значения</w:t>
            </w:r>
            <w:proofErr w:type="gramEnd"/>
            <w:r w:rsidRPr="003549A5">
              <w:rPr>
                <w:rFonts w:ascii="Times New Roman" w:hAnsi="Times New Roman" w:cs="Times New Roman"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  <w:color w:val="000000"/>
              </w:rPr>
            </w:pPr>
            <w:r w:rsidRPr="003549A5">
              <w:rPr>
                <w:rFonts w:ascii="Times New Roman" w:hAnsi="Times New Roman" w:cs="Times New Roman"/>
                <w:color w:val="000000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н)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proofErr w:type="gramStart"/>
            <w:r w:rsidRPr="003549A5">
              <w:rPr>
                <w:rFonts w:ascii="Times New Roman" w:hAnsi="Times New Roman" w:cs="Times New Roman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</w:t>
            </w:r>
            <w:proofErr w:type="gramEnd"/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о)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п)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8" w:type="dxa"/>
          </w:tcPr>
          <w:p w:rsidR="0074467E" w:rsidRPr="003549A5" w:rsidRDefault="00B727BD" w:rsidP="00793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74467E" w:rsidRPr="003549A5">
              <w:rPr>
                <w:rFonts w:ascii="Times New Roman" w:hAnsi="Times New Roman" w:cs="Times New Roman"/>
              </w:rPr>
              <w:t> 500,00</w:t>
            </w: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9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34" w:type="dxa"/>
          </w:tcPr>
          <w:p w:rsidR="0074467E" w:rsidRPr="009A3B96" w:rsidRDefault="0074467E">
            <w:pPr>
              <w:rPr>
                <w:rFonts w:ascii="Times New Roman" w:hAnsi="Times New Roman" w:cs="Times New Roman"/>
                <w:b/>
                <w:bCs/>
              </w:rPr>
            </w:pPr>
            <w:r w:rsidRPr="009A3B96">
              <w:rPr>
                <w:rFonts w:ascii="Times New Roman" w:hAnsi="Times New Roman" w:cs="Times New Roman"/>
                <w:b/>
                <w:bCs/>
              </w:rPr>
              <w:t xml:space="preserve">РАСХОДЫ - всего:  </w:t>
            </w:r>
          </w:p>
        </w:tc>
        <w:tc>
          <w:tcPr>
            <w:tcW w:w="1418" w:type="dxa"/>
          </w:tcPr>
          <w:p w:rsidR="0074467E" w:rsidRPr="009A3B96" w:rsidRDefault="00AF17C5" w:rsidP="007931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344 901,81</w:t>
            </w: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в том числе:                                                  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 xml:space="preserve">Проектирование, строительство, реконструкция автомобильных дорог общего пользования местного значения Уссурийского городского округа и искусственных сооружений на них </w:t>
            </w:r>
          </w:p>
        </w:tc>
        <w:tc>
          <w:tcPr>
            <w:tcW w:w="1418" w:type="dxa"/>
          </w:tcPr>
          <w:p w:rsidR="0074467E" w:rsidRPr="003549A5" w:rsidRDefault="00086C6B" w:rsidP="001D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3 393,3</w:t>
            </w:r>
            <w:r w:rsidR="009A3B96">
              <w:rPr>
                <w:rFonts w:ascii="Times New Roman" w:hAnsi="Times New Roman" w:cs="Times New Roman"/>
              </w:rPr>
              <w:t>3</w:t>
            </w: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Капитальный ремонт автомобильных дорог общего пользования местного значения Уссурийского городского округа и искусственных сооружений на них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Ремонт автомобильных дорог общего пользования местного значения Уссурийского городского округа и  искусственных сооружений на них</w:t>
            </w:r>
          </w:p>
        </w:tc>
        <w:tc>
          <w:tcPr>
            <w:tcW w:w="1418" w:type="dxa"/>
          </w:tcPr>
          <w:p w:rsidR="0074467E" w:rsidRDefault="00AF17C5" w:rsidP="00793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69 548,28</w:t>
            </w:r>
          </w:p>
          <w:p w:rsidR="00AF17C5" w:rsidRPr="003549A5" w:rsidRDefault="00AF17C5" w:rsidP="007931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Уссурийского городского округа и искусственных сооружений на них</w:t>
            </w:r>
          </w:p>
        </w:tc>
        <w:tc>
          <w:tcPr>
            <w:tcW w:w="1418" w:type="dxa"/>
          </w:tcPr>
          <w:p w:rsidR="0074467E" w:rsidRPr="003549A5" w:rsidRDefault="00AF17C5" w:rsidP="001D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250 036,40</w:t>
            </w: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Капитальный ремонт и ремонт дворовых территорий, проездов к дворовым территориям многоквартирных домов Уссурийского городского округа</w:t>
            </w:r>
          </w:p>
        </w:tc>
        <w:tc>
          <w:tcPr>
            <w:tcW w:w="1418" w:type="dxa"/>
          </w:tcPr>
          <w:p w:rsidR="0074467E" w:rsidRPr="003549A5" w:rsidRDefault="0074467E" w:rsidP="007931AA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4 000,00</w:t>
            </w:r>
          </w:p>
        </w:tc>
      </w:tr>
      <w:tr w:rsidR="0074467E" w:rsidRPr="003549A5" w:rsidTr="003549A5">
        <w:tc>
          <w:tcPr>
            <w:tcW w:w="588" w:type="dxa"/>
          </w:tcPr>
          <w:p w:rsidR="0074467E" w:rsidRPr="003549A5" w:rsidRDefault="0074467E">
            <w:pPr>
              <w:jc w:val="center"/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34" w:type="dxa"/>
          </w:tcPr>
          <w:p w:rsidR="0074467E" w:rsidRPr="003549A5" w:rsidRDefault="0074467E">
            <w:pPr>
              <w:rPr>
                <w:rFonts w:ascii="Times New Roman" w:hAnsi="Times New Roman" w:cs="Times New Roman"/>
              </w:rPr>
            </w:pPr>
            <w:r w:rsidRPr="003549A5">
              <w:rPr>
                <w:rFonts w:ascii="Times New Roman" w:hAnsi="Times New Roman" w:cs="Times New Roman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</w:t>
            </w:r>
          </w:p>
        </w:tc>
        <w:tc>
          <w:tcPr>
            <w:tcW w:w="1418" w:type="dxa"/>
          </w:tcPr>
          <w:p w:rsidR="0074467E" w:rsidRPr="003549A5" w:rsidRDefault="00AF17C5" w:rsidP="005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17 923,80</w:t>
            </w:r>
          </w:p>
        </w:tc>
      </w:tr>
    </w:tbl>
    <w:p w:rsidR="00DC7C74" w:rsidRPr="003549A5" w:rsidRDefault="00DC7C74" w:rsidP="000D376B"/>
    <w:sectPr w:rsidR="00DC7C74" w:rsidRPr="003549A5" w:rsidSect="00354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47" w:rsidRDefault="00834747" w:rsidP="005825AB">
      <w:pPr>
        <w:spacing w:after="0" w:line="240" w:lineRule="auto"/>
      </w:pPr>
      <w:r>
        <w:separator/>
      </w:r>
    </w:p>
  </w:endnote>
  <w:endnote w:type="continuationSeparator" w:id="0">
    <w:p w:rsidR="00834747" w:rsidRDefault="00834747" w:rsidP="0058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19" w:rsidRDefault="004D26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19" w:rsidRDefault="004D261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19" w:rsidRDefault="004D26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47" w:rsidRDefault="00834747" w:rsidP="005825AB">
      <w:pPr>
        <w:spacing w:after="0" w:line="240" w:lineRule="auto"/>
      </w:pPr>
      <w:r>
        <w:separator/>
      </w:r>
    </w:p>
  </w:footnote>
  <w:footnote w:type="continuationSeparator" w:id="0">
    <w:p w:rsidR="00834747" w:rsidRDefault="00834747" w:rsidP="0058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19" w:rsidRDefault="004D26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88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2619" w:rsidRPr="005825AB" w:rsidRDefault="00BA5DE6">
        <w:pPr>
          <w:pStyle w:val="a4"/>
          <w:jc w:val="center"/>
          <w:rPr>
            <w:rFonts w:ascii="Times New Roman" w:hAnsi="Times New Roman" w:cs="Times New Roman"/>
          </w:rPr>
        </w:pPr>
        <w:r w:rsidRPr="005825AB">
          <w:rPr>
            <w:rFonts w:ascii="Times New Roman" w:hAnsi="Times New Roman" w:cs="Times New Roman"/>
          </w:rPr>
          <w:fldChar w:fldCharType="begin"/>
        </w:r>
        <w:r w:rsidR="004D2619" w:rsidRPr="005825AB">
          <w:rPr>
            <w:rFonts w:ascii="Times New Roman" w:hAnsi="Times New Roman" w:cs="Times New Roman"/>
          </w:rPr>
          <w:instrText xml:space="preserve"> PAGE   \* MERGEFORMAT </w:instrText>
        </w:r>
        <w:r w:rsidRPr="005825AB">
          <w:rPr>
            <w:rFonts w:ascii="Times New Roman" w:hAnsi="Times New Roman" w:cs="Times New Roman"/>
          </w:rPr>
          <w:fldChar w:fldCharType="separate"/>
        </w:r>
        <w:r w:rsidR="00C475C5">
          <w:rPr>
            <w:rFonts w:ascii="Times New Roman" w:hAnsi="Times New Roman" w:cs="Times New Roman"/>
            <w:noProof/>
          </w:rPr>
          <w:t>2</w:t>
        </w:r>
        <w:r w:rsidRPr="005825AB">
          <w:rPr>
            <w:rFonts w:ascii="Times New Roman" w:hAnsi="Times New Roman" w:cs="Times New Roman"/>
          </w:rPr>
          <w:fldChar w:fldCharType="end"/>
        </w:r>
      </w:p>
    </w:sdtContent>
  </w:sdt>
  <w:p w:rsidR="004D2619" w:rsidRDefault="004D26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19" w:rsidRDefault="004D26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965"/>
    <w:rsid w:val="00000E6B"/>
    <w:rsid w:val="000573BA"/>
    <w:rsid w:val="00086C6B"/>
    <w:rsid w:val="00096BE2"/>
    <w:rsid w:val="000B49E0"/>
    <w:rsid w:val="000D376B"/>
    <w:rsid w:val="000E0536"/>
    <w:rsid w:val="000E67D1"/>
    <w:rsid w:val="00117011"/>
    <w:rsid w:val="001539A5"/>
    <w:rsid w:val="001A5C65"/>
    <w:rsid w:val="001C7200"/>
    <w:rsid w:val="001D235C"/>
    <w:rsid w:val="001F5BCC"/>
    <w:rsid w:val="00217A40"/>
    <w:rsid w:val="00260C69"/>
    <w:rsid w:val="00287139"/>
    <w:rsid w:val="002B496A"/>
    <w:rsid w:val="002C7925"/>
    <w:rsid w:val="002F6A26"/>
    <w:rsid w:val="003549A5"/>
    <w:rsid w:val="003C3078"/>
    <w:rsid w:val="0042397F"/>
    <w:rsid w:val="00444042"/>
    <w:rsid w:val="00445B2F"/>
    <w:rsid w:val="00477F85"/>
    <w:rsid w:val="004D2619"/>
    <w:rsid w:val="005825AB"/>
    <w:rsid w:val="005A6726"/>
    <w:rsid w:val="005F157C"/>
    <w:rsid w:val="005F3C0F"/>
    <w:rsid w:val="00602B7F"/>
    <w:rsid w:val="00611972"/>
    <w:rsid w:val="00683163"/>
    <w:rsid w:val="006A5248"/>
    <w:rsid w:val="006B06FC"/>
    <w:rsid w:val="006C0DBE"/>
    <w:rsid w:val="006F71AE"/>
    <w:rsid w:val="00725AE1"/>
    <w:rsid w:val="0074467E"/>
    <w:rsid w:val="0076443F"/>
    <w:rsid w:val="00776790"/>
    <w:rsid w:val="007931AA"/>
    <w:rsid w:val="007B23CD"/>
    <w:rsid w:val="007C1E8C"/>
    <w:rsid w:val="007C2017"/>
    <w:rsid w:val="007D3519"/>
    <w:rsid w:val="00813838"/>
    <w:rsid w:val="00834747"/>
    <w:rsid w:val="00835BD2"/>
    <w:rsid w:val="0097413A"/>
    <w:rsid w:val="009A3B96"/>
    <w:rsid w:val="009A4C98"/>
    <w:rsid w:val="009C297D"/>
    <w:rsid w:val="00A00EFB"/>
    <w:rsid w:val="00A5570B"/>
    <w:rsid w:val="00A76B0F"/>
    <w:rsid w:val="00AB4135"/>
    <w:rsid w:val="00AF17C5"/>
    <w:rsid w:val="00B727BD"/>
    <w:rsid w:val="00BA5DE6"/>
    <w:rsid w:val="00BF6832"/>
    <w:rsid w:val="00C20A3F"/>
    <w:rsid w:val="00C355E4"/>
    <w:rsid w:val="00C475C5"/>
    <w:rsid w:val="00C53DB4"/>
    <w:rsid w:val="00C67835"/>
    <w:rsid w:val="00CC3D42"/>
    <w:rsid w:val="00D24965"/>
    <w:rsid w:val="00D7239E"/>
    <w:rsid w:val="00DC7C74"/>
    <w:rsid w:val="00DD79C5"/>
    <w:rsid w:val="00FA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2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5AB"/>
  </w:style>
  <w:style w:type="paragraph" w:styleId="a6">
    <w:name w:val="footer"/>
    <w:basedOn w:val="a"/>
    <w:link w:val="a7"/>
    <w:uiPriority w:val="99"/>
    <w:semiHidden/>
    <w:unhideWhenUsed/>
    <w:rsid w:val="00582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25AB"/>
  </w:style>
  <w:style w:type="paragraph" w:styleId="a8">
    <w:name w:val="Balloon Text"/>
    <w:basedOn w:val="a"/>
    <w:link w:val="a9"/>
    <w:uiPriority w:val="99"/>
    <w:semiHidden/>
    <w:unhideWhenUsed/>
    <w:rsid w:val="009C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3ABC2-7245-403F-9C72-881E92E5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209c</dc:creator>
  <cp:keywords/>
  <dc:description/>
  <cp:lastModifiedBy>Natalia</cp:lastModifiedBy>
  <cp:revision>40</cp:revision>
  <cp:lastPrinted>2018-08-31T00:15:00Z</cp:lastPrinted>
  <dcterms:created xsi:type="dcterms:W3CDTF">2017-08-30T07:53:00Z</dcterms:created>
  <dcterms:modified xsi:type="dcterms:W3CDTF">2018-11-27T05:10:00Z</dcterms:modified>
</cp:coreProperties>
</file>